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537" w:lineRule="exact"/>
        <w:ind w:left="0"/>
        <w:rPr>
          <w:rFonts w:hint="eastAsia" w:ascii="黑体" w:hAnsi="黑体" w:eastAsia="黑体" w:cs="黑体"/>
          <w:b w:val="0"/>
          <w:bCs w:val="0"/>
          <w:lang w:eastAsia="zh-CN"/>
        </w:rPr>
      </w:pPr>
      <w:r>
        <w:rPr>
          <w:rFonts w:hint="eastAsia" w:ascii="黑体" w:hAnsi="黑体" w:eastAsia="黑体" w:cs="黑体"/>
          <w:b w:val="0"/>
          <w:bCs w:val="0"/>
        </w:rPr>
        <w:t>附件</w:t>
      </w:r>
      <w:r>
        <w:rPr>
          <w:rFonts w:hint="eastAsia" w:ascii="黑体" w:hAnsi="黑体" w:eastAsia="黑体" w:cs="黑体"/>
          <w:b w:val="0"/>
          <w:bCs w:val="0"/>
          <w:lang w:val="en-US" w:eastAsia="zh-CN"/>
        </w:rPr>
        <w:t>2</w:t>
      </w:r>
    </w:p>
    <w:p>
      <w:pPr>
        <w:pStyle w:val="2"/>
        <w:spacing w:line="420" w:lineRule="exact"/>
        <w:ind w:left="0"/>
        <w:rPr>
          <w:rFonts w:asciiTheme="majorEastAsia" w:hAnsiTheme="majorEastAsia" w:eastAsiaTheme="majorEastAsia" w:cstheme="majorEastAsia"/>
          <w:sz w:val="44"/>
        </w:rPr>
      </w:pPr>
    </w:p>
    <w:p>
      <w:pPr>
        <w:pStyle w:val="2"/>
        <w:spacing w:line="537" w:lineRule="exact"/>
        <w:ind w:left="0"/>
        <w:jc w:val="center"/>
        <w:rPr>
          <w:rFonts w:hint="eastAsia" w:asciiTheme="majorEastAsia" w:hAnsiTheme="majorEastAsia" w:eastAsiaTheme="majorEastAsia" w:cstheme="majorEastAsia"/>
          <w:sz w:val="44"/>
        </w:rPr>
      </w:pPr>
      <w:r>
        <w:rPr>
          <w:rFonts w:hint="eastAsia" w:asciiTheme="majorEastAsia" w:hAnsiTheme="majorEastAsia" w:eastAsiaTheme="majorEastAsia" w:cstheme="majorEastAsia"/>
          <w:sz w:val="44"/>
        </w:rPr>
        <w:t>湖南信息学院</w:t>
      </w:r>
      <w:r>
        <w:rPr>
          <w:rFonts w:hint="eastAsia" w:asciiTheme="majorEastAsia" w:hAnsiTheme="majorEastAsia" w:eastAsiaTheme="majorEastAsia" w:cstheme="majorEastAsia"/>
          <w:sz w:val="44"/>
          <w:lang w:val="en-US"/>
        </w:rPr>
        <w:t>202</w:t>
      </w:r>
      <w:r>
        <w:rPr>
          <w:rFonts w:hint="eastAsia" w:asciiTheme="majorEastAsia" w:hAnsiTheme="majorEastAsia" w:eastAsiaTheme="majorEastAsia" w:cstheme="majorEastAsia"/>
          <w:sz w:val="44"/>
          <w:lang w:val="en-US" w:eastAsia="zh-CN"/>
        </w:rPr>
        <w:t>3</w:t>
      </w:r>
      <w:r>
        <w:rPr>
          <w:rFonts w:hint="eastAsia" w:asciiTheme="majorEastAsia" w:hAnsiTheme="majorEastAsia" w:eastAsiaTheme="majorEastAsia" w:cstheme="majorEastAsia"/>
          <w:sz w:val="44"/>
          <w:lang w:val="en-US"/>
        </w:rPr>
        <w:t>年度</w:t>
      </w:r>
      <w:r>
        <w:rPr>
          <w:rFonts w:hint="eastAsia" w:asciiTheme="majorEastAsia" w:hAnsiTheme="majorEastAsia" w:eastAsiaTheme="majorEastAsia" w:cstheme="majorEastAsia"/>
          <w:sz w:val="44"/>
        </w:rPr>
        <w:t>高校教师系列高级专业技术职称评审</w:t>
      </w:r>
    </w:p>
    <w:p>
      <w:pPr>
        <w:pStyle w:val="2"/>
        <w:spacing w:line="537" w:lineRule="exact"/>
        <w:ind w:left="0"/>
        <w:jc w:val="center"/>
        <w:rPr>
          <w:rFonts w:hint="eastAsia" w:ascii="方正小标宋简体" w:eastAsiaTheme="majorEastAsia"/>
          <w:sz w:val="21"/>
          <w:lang w:eastAsia="zh-CN"/>
        </w:rPr>
      </w:pPr>
      <w:bookmarkStart w:id="0" w:name="_GoBack"/>
      <w:r>
        <w:rPr>
          <w:rFonts w:hint="eastAsia" w:asciiTheme="majorEastAsia" w:hAnsiTheme="majorEastAsia" w:eastAsiaTheme="majorEastAsia" w:cstheme="majorEastAsia"/>
          <w:sz w:val="44"/>
        </w:rPr>
        <w:t>量化计分表</w:t>
      </w:r>
      <w:r>
        <w:rPr>
          <w:rFonts w:hint="eastAsia" w:asciiTheme="majorEastAsia" w:hAnsiTheme="majorEastAsia" w:eastAsiaTheme="majorEastAsia" w:cstheme="majorEastAsia"/>
          <w:sz w:val="44"/>
          <w:lang w:eastAsia="zh-CN"/>
        </w:rPr>
        <w:t>(</w:t>
      </w:r>
      <w:r>
        <w:rPr>
          <w:rFonts w:hint="eastAsia" w:asciiTheme="majorEastAsia" w:hAnsiTheme="majorEastAsia" w:eastAsiaTheme="majorEastAsia" w:cstheme="majorEastAsia"/>
          <w:sz w:val="44"/>
          <w:lang w:val="en-US" w:eastAsia="zh-CN"/>
        </w:rPr>
        <w:t>专任教师</w:t>
      </w:r>
      <w:r>
        <w:rPr>
          <w:rFonts w:hint="eastAsia" w:asciiTheme="majorEastAsia" w:hAnsiTheme="majorEastAsia" w:eastAsiaTheme="majorEastAsia" w:cstheme="majorEastAsia"/>
          <w:sz w:val="44"/>
          <w:lang w:eastAsia="zh-CN"/>
        </w:rPr>
        <w:t>)</w:t>
      </w:r>
    </w:p>
    <w:bookmarkEnd w:id="0"/>
    <w:p>
      <w:pPr>
        <w:pStyle w:val="3"/>
        <w:spacing w:before="17"/>
        <w:ind w:left="0"/>
        <w:rPr>
          <w:rFonts w:ascii="方正小标宋简体"/>
          <w:sz w:val="21"/>
        </w:rPr>
      </w:pPr>
    </w:p>
    <w:p>
      <w:pPr>
        <w:tabs>
          <w:tab w:val="left" w:pos="3089"/>
          <w:tab w:val="left" w:pos="3859"/>
          <w:tab w:val="left" w:pos="7848"/>
          <w:tab w:val="left" w:pos="8899"/>
          <w:tab w:val="left" w:pos="10579"/>
          <w:tab w:val="left" w:pos="13308"/>
        </w:tabs>
        <w:spacing w:before="61"/>
        <w:ind w:left="500"/>
        <w:rPr>
          <w:rFonts w:ascii="Times New Roman" w:eastAsia="Times New Roman"/>
          <w:sz w:val="28"/>
        </w:rPr>
      </w:pPr>
      <w:r>
        <w:rPr>
          <w:sz w:val="28"/>
        </w:rPr>
        <w:t>姓</w:t>
      </w:r>
      <w:r>
        <w:rPr>
          <w:spacing w:val="-3"/>
          <w:sz w:val="28"/>
        </w:rPr>
        <w:t>名</w:t>
      </w:r>
      <w:r>
        <w:rPr>
          <w:sz w:val="28"/>
        </w:rPr>
        <w:t>：</w:t>
      </w:r>
      <w:r>
        <w:rPr>
          <w:sz w:val="28"/>
          <w:u w:val="single"/>
        </w:rPr>
        <w:tab/>
      </w:r>
      <w:r>
        <w:rPr>
          <w:sz w:val="28"/>
        </w:rPr>
        <w:tab/>
      </w:r>
      <w:r>
        <w:rPr>
          <w:sz w:val="28"/>
        </w:rPr>
        <w:t>申</w:t>
      </w:r>
      <w:r>
        <w:rPr>
          <w:spacing w:val="-3"/>
          <w:sz w:val="28"/>
        </w:rPr>
        <w:t>报</w:t>
      </w:r>
      <w:r>
        <w:rPr>
          <w:sz w:val="28"/>
        </w:rPr>
        <w:t>职称</w:t>
      </w:r>
      <w:r>
        <w:rPr>
          <w:spacing w:val="-3"/>
          <w:sz w:val="28"/>
        </w:rPr>
        <w:t>及</w:t>
      </w:r>
      <w:r>
        <w:rPr>
          <w:sz w:val="28"/>
        </w:rPr>
        <w:t>类型</w:t>
      </w:r>
      <w:r>
        <w:rPr>
          <w:spacing w:val="-3"/>
          <w:sz w:val="28"/>
        </w:rPr>
        <w:t>：</w:t>
      </w:r>
      <w:r>
        <w:rPr>
          <w:spacing w:val="-3"/>
          <w:sz w:val="28"/>
          <w:u w:val="single"/>
        </w:rPr>
        <w:tab/>
      </w:r>
      <w:r>
        <w:rPr>
          <w:spacing w:val="-3"/>
          <w:sz w:val="28"/>
        </w:rPr>
        <w:tab/>
      </w:r>
      <w:r>
        <w:rPr>
          <w:spacing w:val="-1"/>
          <w:sz w:val="28"/>
        </w:rPr>
        <w:t>申</w:t>
      </w:r>
      <w:r>
        <w:rPr>
          <w:spacing w:val="-3"/>
          <w:sz w:val="28"/>
        </w:rPr>
        <w:t>报</w:t>
      </w:r>
      <w:r>
        <w:rPr>
          <w:spacing w:val="-1"/>
          <w:sz w:val="28"/>
        </w:rPr>
        <w:t>学科</w:t>
      </w:r>
      <w:r>
        <w:rPr>
          <w:sz w:val="28"/>
        </w:rPr>
        <w:t>：</w:t>
      </w:r>
      <w:r>
        <w:rPr>
          <w:sz w:val="28"/>
        </w:rPr>
        <w:tab/>
      </w:r>
      <w:r>
        <w:rPr>
          <w:rFonts w:ascii="Times New Roman" w:eastAsia="Times New Roman"/>
          <w:sz w:val="28"/>
          <w:u w:val="single"/>
        </w:rPr>
        <w:tab/>
      </w:r>
    </w:p>
    <w:p>
      <w:pPr>
        <w:pStyle w:val="3"/>
        <w:ind w:left="0"/>
        <w:rPr>
          <w:rFonts w:ascii="Times New Roman"/>
          <w:sz w:val="20"/>
        </w:rPr>
      </w:pPr>
    </w:p>
    <w:p>
      <w:pPr>
        <w:pStyle w:val="3"/>
        <w:ind w:left="0"/>
        <w:rPr>
          <w:rFonts w:ascii="Times New Roman"/>
          <w:sz w:val="20"/>
        </w:rPr>
      </w:pPr>
    </w:p>
    <w:tbl>
      <w:tblPr>
        <w:tblStyle w:val="6"/>
        <w:tblW w:w="0" w:type="auto"/>
        <w:tblInd w:w="11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11"/>
        <w:gridCol w:w="10031"/>
        <w:gridCol w:w="680"/>
        <w:gridCol w:w="897"/>
        <w:gridCol w:w="647"/>
        <w:gridCol w:w="87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0" w:hRule="atLeast"/>
        </w:trPr>
        <w:tc>
          <w:tcPr>
            <w:tcW w:w="1611" w:type="dxa"/>
            <w:vAlign w:val="center"/>
          </w:tcPr>
          <w:p>
            <w:pPr>
              <w:pStyle w:val="8"/>
              <w:spacing w:line="320" w:lineRule="exact"/>
              <w:jc w:val="center"/>
              <w:rPr>
                <w:rFonts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  <w:t>一级目录</w:t>
            </w:r>
          </w:p>
        </w:tc>
        <w:tc>
          <w:tcPr>
            <w:tcW w:w="10031" w:type="dxa"/>
            <w:vAlign w:val="center"/>
          </w:tcPr>
          <w:p>
            <w:pPr>
              <w:pStyle w:val="8"/>
              <w:spacing w:line="320" w:lineRule="exact"/>
              <w:jc w:val="center"/>
              <w:rPr>
                <w:rFonts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  <w:t>二级目录</w:t>
            </w:r>
          </w:p>
        </w:tc>
        <w:tc>
          <w:tcPr>
            <w:tcW w:w="680" w:type="dxa"/>
            <w:vAlign w:val="center"/>
          </w:tcPr>
          <w:p>
            <w:pPr>
              <w:pStyle w:val="8"/>
              <w:spacing w:line="320" w:lineRule="exact"/>
              <w:jc w:val="center"/>
              <w:rPr>
                <w:rFonts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  <w:t>自评分</w:t>
            </w:r>
          </w:p>
        </w:tc>
        <w:tc>
          <w:tcPr>
            <w:tcW w:w="897" w:type="dxa"/>
            <w:vAlign w:val="center"/>
          </w:tcPr>
          <w:p>
            <w:pPr>
              <w:pStyle w:val="8"/>
              <w:spacing w:line="320" w:lineRule="exact"/>
              <w:jc w:val="center"/>
              <w:rPr>
                <w:rFonts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  <w:t>加分项所在页码</w:t>
            </w:r>
          </w:p>
        </w:tc>
        <w:tc>
          <w:tcPr>
            <w:tcW w:w="647" w:type="dxa"/>
            <w:vAlign w:val="center"/>
          </w:tcPr>
          <w:p>
            <w:pPr>
              <w:pStyle w:val="8"/>
              <w:spacing w:line="320" w:lineRule="exact"/>
              <w:jc w:val="center"/>
              <w:rPr>
                <w:rFonts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w w:val="95"/>
                <w:sz w:val="21"/>
                <w:szCs w:val="21"/>
              </w:rPr>
              <w:t>复核</w:t>
            </w:r>
          </w:p>
          <w:p>
            <w:pPr>
              <w:pStyle w:val="8"/>
              <w:spacing w:line="320" w:lineRule="exact"/>
              <w:jc w:val="center"/>
              <w:rPr>
                <w:rFonts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w w:val="95"/>
                <w:sz w:val="21"/>
                <w:szCs w:val="21"/>
              </w:rPr>
              <w:t>得分</w:t>
            </w:r>
          </w:p>
        </w:tc>
        <w:tc>
          <w:tcPr>
            <w:tcW w:w="879" w:type="dxa"/>
            <w:vAlign w:val="center"/>
          </w:tcPr>
          <w:p>
            <w:pPr>
              <w:pStyle w:val="8"/>
              <w:spacing w:line="320" w:lineRule="exact"/>
              <w:jc w:val="center"/>
              <w:rPr>
                <w:rFonts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  <w:t>合计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1611" w:type="dxa"/>
            <w:vMerge w:val="restart"/>
            <w:vAlign w:val="center"/>
          </w:tcPr>
          <w:p>
            <w:pPr>
              <w:pStyle w:val="8"/>
              <w:spacing w:line="320" w:lineRule="exact"/>
              <w:jc w:val="center"/>
              <w:rPr>
                <w:rFonts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  <w:t>1.师德师风与日常表现</w:t>
            </w:r>
          </w:p>
        </w:tc>
        <w:tc>
          <w:tcPr>
            <w:tcW w:w="10031" w:type="dxa"/>
            <w:vAlign w:val="center"/>
          </w:tcPr>
          <w:p>
            <w:pPr>
              <w:pStyle w:val="8"/>
              <w:spacing w:line="32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(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)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工作业绩突出，个人获得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国家党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政部门颁发的国家级、省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(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部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)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级、厅级荣誉称号，分别计10 分、5 分、2 分。同一荣誉称号只取最高级计分。</w:t>
            </w:r>
          </w:p>
        </w:tc>
        <w:tc>
          <w:tcPr>
            <w:tcW w:w="680" w:type="dxa"/>
          </w:tcPr>
          <w:p>
            <w:pPr>
              <w:pStyle w:val="8"/>
              <w:spacing w:line="32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97" w:type="dxa"/>
          </w:tcPr>
          <w:p>
            <w:pPr>
              <w:pStyle w:val="8"/>
              <w:spacing w:line="32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647" w:type="dxa"/>
          </w:tcPr>
          <w:p>
            <w:pPr>
              <w:pStyle w:val="8"/>
              <w:spacing w:line="32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79" w:type="dxa"/>
            <w:vMerge w:val="restart"/>
          </w:tcPr>
          <w:p>
            <w:pPr>
              <w:pStyle w:val="8"/>
              <w:spacing w:line="32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7" w:hRule="atLeast"/>
        </w:trPr>
        <w:tc>
          <w:tcPr>
            <w:tcW w:w="1611" w:type="dxa"/>
            <w:vMerge w:val="continue"/>
            <w:vAlign w:val="center"/>
          </w:tcPr>
          <w:p>
            <w:pPr>
              <w:spacing w:line="32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0031" w:type="dxa"/>
            <w:vAlign w:val="center"/>
          </w:tcPr>
          <w:p>
            <w:pPr>
              <w:pStyle w:val="8"/>
              <w:spacing w:line="32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(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)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由学校党委推荐的个人师德师风先进事迹在国家级、省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(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部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)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级、市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(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厅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)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级的主流媒体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(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指党报、党刊或党政部门主办的网络媒体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)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进行了专题宣传报道的分别计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分、2分、1分。同一先进事迹只取最高级计分。</w:t>
            </w:r>
          </w:p>
        </w:tc>
        <w:tc>
          <w:tcPr>
            <w:tcW w:w="680" w:type="dxa"/>
          </w:tcPr>
          <w:p>
            <w:pPr>
              <w:pStyle w:val="8"/>
              <w:spacing w:line="32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97" w:type="dxa"/>
          </w:tcPr>
          <w:p>
            <w:pPr>
              <w:pStyle w:val="8"/>
              <w:spacing w:line="32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647" w:type="dxa"/>
          </w:tcPr>
          <w:p>
            <w:pPr>
              <w:pStyle w:val="8"/>
              <w:spacing w:line="32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79" w:type="dxa"/>
            <w:vMerge w:val="continue"/>
            <w:tcBorders/>
          </w:tcPr>
          <w:p>
            <w:pPr>
              <w:spacing w:line="32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1611" w:type="dxa"/>
            <w:vMerge w:val="continue"/>
            <w:vAlign w:val="center"/>
          </w:tcPr>
          <w:p>
            <w:pPr>
              <w:spacing w:line="32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0031" w:type="dxa"/>
            <w:vAlign w:val="center"/>
          </w:tcPr>
          <w:p>
            <w:pPr>
              <w:pStyle w:val="8"/>
              <w:spacing w:line="32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(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)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获学校“功勋、功臣、功德”奖彰和学校其他重大专题表彰，每项计2分。</w:t>
            </w:r>
          </w:p>
        </w:tc>
        <w:tc>
          <w:tcPr>
            <w:tcW w:w="680" w:type="dxa"/>
          </w:tcPr>
          <w:p>
            <w:pPr>
              <w:pStyle w:val="8"/>
              <w:spacing w:line="32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97" w:type="dxa"/>
          </w:tcPr>
          <w:p>
            <w:pPr>
              <w:pStyle w:val="8"/>
              <w:spacing w:line="32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647" w:type="dxa"/>
          </w:tcPr>
          <w:p>
            <w:pPr>
              <w:pStyle w:val="8"/>
              <w:spacing w:line="32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79" w:type="dxa"/>
            <w:vMerge w:val="continue"/>
            <w:tcBorders/>
          </w:tcPr>
          <w:p>
            <w:pPr>
              <w:spacing w:line="32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1611" w:type="dxa"/>
            <w:vMerge w:val="continue"/>
            <w:vAlign w:val="center"/>
          </w:tcPr>
          <w:p>
            <w:pPr>
              <w:spacing w:line="32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0031" w:type="dxa"/>
            <w:vAlign w:val="center"/>
          </w:tcPr>
          <w:p>
            <w:pPr>
              <w:pStyle w:val="8"/>
              <w:spacing w:line="32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(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)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获学校“优秀教师、优秀教育工作者、优秀共产党员、优秀党务工作者”等综合性荣誉表彰每项计1分</w:t>
            </w:r>
          </w:p>
        </w:tc>
        <w:tc>
          <w:tcPr>
            <w:tcW w:w="680" w:type="dxa"/>
          </w:tcPr>
          <w:p>
            <w:pPr>
              <w:pStyle w:val="8"/>
              <w:spacing w:line="32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w w:val="99"/>
                <w:sz w:val="21"/>
                <w:szCs w:val="21"/>
              </w:rPr>
              <w:t>。</w:t>
            </w:r>
          </w:p>
        </w:tc>
        <w:tc>
          <w:tcPr>
            <w:tcW w:w="897" w:type="dxa"/>
          </w:tcPr>
          <w:p>
            <w:pPr>
              <w:pStyle w:val="8"/>
              <w:spacing w:line="32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647" w:type="dxa"/>
          </w:tcPr>
          <w:p>
            <w:pPr>
              <w:pStyle w:val="8"/>
              <w:spacing w:line="32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79" w:type="dxa"/>
            <w:vMerge w:val="continue"/>
            <w:tcBorders/>
          </w:tcPr>
          <w:p>
            <w:pPr>
              <w:spacing w:line="32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</w:trPr>
        <w:tc>
          <w:tcPr>
            <w:tcW w:w="1611" w:type="dxa"/>
            <w:vMerge w:val="continue"/>
            <w:vAlign w:val="center"/>
          </w:tcPr>
          <w:p>
            <w:pPr>
              <w:pStyle w:val="8"/>
              <w:spacing w:line="320" w:lineRule="exact"/>
              <w:rPr>
                <w:rFonts w:asciiTheme="minorEastAsia" w:hAnsiTheme="minorEastAsia" w:eastAsiaTheme="minorEastAsia" w:cstheme="minorEastAsia"/>
                <w:b/>
                <w:sz w:val="21"/>
                <w:szCs w:val="21"/>
              </w:rPr>
            </w:pPr>
          </w:p>
        </w:tc>
        <w:tc>
          <w:tcPr>
            <w:tcW w:w="10031" w:type="dxa"/>
            <w:vAlign w:val="center"/>
          </w:tcPr>
          <w:p>
            <w:pPr>
              <w:pStyle w:val="8"/>
              <w:spacing w:line="32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(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)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近5年年度考核为优秀等级的，每次计1分。</w:t>
            </w:r>
          </w:p>
        </w:tc>
        <w:tc>
          <w:tcPr>
            <w:tcW w:w="680" w:type="dxa"/>
          </w:tcPr>
          <w:p>
            <w:pPr>
              <w:pStyle w:val="8"/>
              <w:spacing w:line="32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97" w:type="dxa"/>
          </w:tcPr>
          <w:p>
            <w:pPr>
              <w:pStyle w:val="8"/>
              <w:spacing w:line="32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647" w:type="dxa"/>
          </w:tcPr>
          <w:p>
            <w:pPr>
              <w:pStyle w:val="8"/>
              <w:spacing w:line="32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79" w:type="dxa"/>
            <w:vMerge w:val="continue"/>
            <w:tcBorders/>
          </w:tcPr>
          <w:p>
            <w:pPr>
              <w:pStyle w:val="8"/>
              <w:spacing w:line="32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7" w:hRule="atLeast"/>
        </w:trPr>
        <w:tc>
          <w:tcPr>
            <w:tcW w:w="1611" w:type="dxa"/>
            <w:vMerge w:val="continue"/>
            <w:vAlign w:val="center"/>
          </w:tcPr>
          <w:p>
            <w:pPr>
              <w:pStyle w:val="8"/>
              <w:spacing w:line="32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0031" w:type="dxa"/>
            <w:vAlign w:val="center"/>
          </w:tcPr>
          <w:p>
            <w:pPr>
              <w:pStyle w:val="8"/>
              <w:spacing w:line="32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(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)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个人负责的工作获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  <w:t>党政部门专项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表彰计分：国家级计5分，省级计3分，厅级计2分。以上奖励仅限国家党政部门专项表彰，其他行业协会均不计分。此项在其他地方不重复计分。</w:t>
            </w:r>
          </w:p>
        </w:tc>
        <w:tc>
          <w:tcPr>
            <w:tcW w:w="680" w:type="dxa"/>
          </w:tcPr>
          <w:p>
            <w:pPr>
              <w:pStyle w:val="8"/>
              <w:spacing w:line="32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97" w:type="dxa"/>
          </w:tcPr>
          <w:p>
            <w:pPr>
              <w:pStyle w:val="8"/>
              <w:spacing w:line="32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647" w:type="dxa"/>
          </w:tcPr>
          <w:p>
            <w:pPr>
              <w:pStyle w:val="8"/>
              <w:spacing w:line="32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79" w:type="dxa"/>
            <w:vMerge w:val="continue"/>
            <w:tcBorders/>
          </w:tcPr>
          <w:p>
            <w:pPr>
              <w:pStyle w:val="8"/>
              <w:spacing w:line="32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</w:tbl>
    <w:p>
      <w:pPr>
        <w:spacing w:line="320" w:lineRule="exact"/>
        <w:rPr>
          <w:rFonts w:asciiTheme="minorEastAsia" w:hAnsiTheme="minorEastAsia" w:eastAsiaTheme="minorEastAsia" w:cstheme="minorEastAsia"/>
          <w:sz w:val="21"/>
          <w:szCs w:val="21"/>
        </w:rPr>
        <w:sectPr>
          <w:footerReference r:id="rId3" w:type="default"/>
          <w:pgSz w:w="16840" w:h="11910" w:orient="landscape"/>
          <w:pgMar w:top="1580" w:right="920" w:bottom="1160" w:left="940" w:header="720" w:footer="720" w:gutter="0"/>
          <w:pgNumType w:fmt="decimal" w:start="1"/>
          <w:cols w:space="720" w:num="1"/>
        </w:sectPr>
      </w:pPr>
    </w:p>
    <w:tbl>
      <w:tblPr>
        <w:tblStyle w:val="6"/>
        <w:tblW w:w="0" w:type="auto"/>
        <w:tblInd w:w="11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11"/>
        <w:gridCol w:w="9828"/>
        <w:gridCol w:w="620"/>
        <w:gridCol w:w="1160"/>
        <w:gridCol w:w="647"/>
        <w:gridCol w:w="87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0" w:hRule="atLeast"/>
        </w:trPr>
        <w:tc>
          <w:tcPr>
            <w:tcW w:w="1611" w:type="dxa"/>
            <w:vMerge w:val="restart"/>
            <w:vAlign w:val="center"/>
          </w:tcPr>
          <w:p>
            <w:pPr>
              <w:pStyle w:val="8"/>
              <w:spacing w:line="32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  <w:t>2.教育教学</w:t>
            </w:r>
          </w:p>
        </w:tc>
        <w:tc>
          <w:tcPr>
            <w:tcW w:w="9828" w:type="dxa"/>
            <w:vAlign w:val="center"/>
          </w:tcPr>
          <w:p>
            <w:pPr>
              <w:pStyle w:val="8"/>
              <w:spacing w:line="320" w:lineRule="exact"/>
              <w:jc w:val="both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(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)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获教学成果奖：国家级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特等奖200分、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一等奖100分、二等奖80分、三等奖60分；省级一等奖40分、二等奖30分、三等奖20分，校级一等奖6分，二等奖4分，三等奖2分。参与者取前5名，根据排名依次按0.6、0.2、0.1、0.05、0.05的比例计分。</w:t>
            </w:r>
          </w:p>
        </w:tc>
        <w:tc>
          <w:tcPr>
            <w:tcW w:w="620" w:type="dxa"/>
          </w:tcPr>
          <w:p>
            <w:pPr>
              <w:pStyle w:val="8"/>
              <w:spacing w:line="32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160" w:type="dxa"/>
          </w:tcPr>
          <w:p>
            <w:pPr>
              <w:pStyle w:val="8"/>
              <w:spacing w:line="32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647" w:type="dxa"/>
          </w:tcPr>
          <w:p>
            <w:pPr>
              <w:pStyle w:val="8"/>
              <w:spacing w:line="32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79" w:type="dxa"/>
            <w:vMerge w:val="restart"/>
          </w:tcPr>
          <w:p>
            <w:pPr>
              <w:pStyle w:val="8"/>
              <w:spacing w:line="32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</w:trPr>
        <w:tc>
          <w:tcPr>
            <w:tcW w:w="1611" w:type="dxa"/>
            <w:vMerge w:val="continue"/>
          </w:tcPr>
          <w:p>
            <w:pPr>
              <w:pStyle w:val="8"/>
              <w:spacing w:line="320" w:lineRule="exact"/>
              <w:rPr>
                <w:rFonts w:asciiTheme="minorEastAsia" w:hAnsiTheme="minorEastAsia" w:eastAsiaTheme="minorEastAsia" w:cstheme="minorEastAsia"/>
                <w:b/>
                <w:sz w:val="21"/>
                <w:szCs w:val="21"/>
              </w:rPr>
            </w:pPr>
          </w:p>
        </w:tc>
        <w:tc>
          <w:tcPr>
            <w:tcW w:w="9828" w:type="dxa"/>
            <w:tcBorders>
              <w:bottom w:val="single" w:color="000000" w:sz="4" w:space="0"/>
            </w:tcBorders>
            <w:vAlign w:val="center"/>
          </w:tcPr>
          <w:p>
            <w:pPr>
              <w:pStyle w:val="8"/>
              <w:spacing w:line="320" w:lineRule="exact"/>
              <w:jc w:val="both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(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)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主持或参与教学建设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  <w:t>项目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，含专业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  <w:t>建设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、课程建设、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  <w:t>教学团队、实验室建设项目等，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主持国家级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  <w:t>30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分，主持省级15分，主持校级计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分，参与者取前5名，根据排名依次按0.6、0.2、0.1、0.05、0.05的比例计分。其中：由上级部门指定性项目或直接认定的项目按此分值的50%计分。</w:t>
            </w:r>
          </w:p>
        </w:tc>
        <w:tc>
          <w:tcPr>
            <w:tcW w:w="620" w:type="dxa"/>
            <w:tcBorders>
              <w:bottom w:val="single" w:color="000000" w:sz="4" w:space="0"/>
            </w:tcBorders>
          </w:tcPr>
          <w:p>
            <w:pPr>
              <w:pStyle w:val="8"/>
              <w:spacing w:line="32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pStyle w:val="8"/>
              <w:spacing w:line="32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160" w:type="dxa"/>
            <w:tcBorders>
              <w:bottom w:val="single" w:color="000000" w:sz="4" w:space="0"/>
            </w:tcBorders>
          </w:tcPr>
          <w:p>
            <w:pPr>
              <w:pStyle w:val="8"/>
              <w:spacing w:line="32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647" w:type="dxa"/>
            <w:tcBorders>
              <w:bottom w:val="single" w:color="000000" w:sz="4" w:space="0"/>
            </w:tcBorders>
          </w:tcPr>
          <w:p>
            <w:pPr>
              <w:pStyle w:val="8"/>
              <w:spacing w:line="32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79" w:type="dxa"/>
            <w:vMerge w:val="continue"/>
            <w:tcBorders/>
          </w:tcPr>
          <w:p>
            <w:pPr>
              <w:spacing w:line="32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611" w:type="dxa"/>
            <w:vMerge w:val="continue"/>
          </w:tcPr>
          <w:p>
            <w:pPr>
              <w:pStyle w:val="8"/>
              <w:spacing w:line="32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9828" w:type="dxa"/>
            <w:vAlign w:val="center"/>
          </w:tcPr>
          <w:p>
            <w:pPr>
              <w:pStyle w:val="8"/>
              <w:spacing w:line="320" w:lineRule="exact"/>
              <w:jc w:val="both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(3)“双师型”教师：是指经学校认定的双师双能型教师计2分。</w:t>
            </w:r>
          </w:p>
        </w:tc>
        <w:tc>
          <w:tcPr>
            <w:tcW w:w="620" w:type="dxa"/>
          </w:tcPr>
          <w:p>
            <w:pPr>
              <w:pStyle w:val="8"/>
              <w:spacing w:line="32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160" w:type="dxa"/>
          </w:tcPr>
          <w:p>
            <w:pPr>
              <w:pStyle w:val="8"/>
              <w:spacing w:line="32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647" w:type="dxa"/>
          </w:tcPr>
          <w:p>
            <w:pPr>
              <w:pStyle w:val="8"/>
              <w:spacing w:line="32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79" w:type="dxa"/>
            <w:vMerge w:val="continue"/>
            <w:tcBorders/>
          </w:tcPr>
          <w:p>
            <w:pPr>
              <w:spacing w:line="32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1611" w:type="dxa"/>
            <w:vMerge w:val="continue"/>
          </w:tcPr>
          <w:p>
            <w:pPr>
              <w:pStyle w:val="8"/>
              <w:spacing w:line="32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9828" w:type="dxa"/>
            <w:vAlign w:val="center"/>
          </w:tcPr>
          <w:p>
            <w:pPr>
              <w:pStyle w:val="8"/>
              <w:spacing w:line="320" w:lineRule="exact"/>
              <w:jc w:val="both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(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)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教学效果：近5年，获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  <w:t>校级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课堂教学之星、在线教学之星或信息化教学之星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  <w:t>等教学类专项奖项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的，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  <w:t>每项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计1分。</w:t>
            </w:r>
          </w:p>
        </w:tc>
        <w:tc>
          <w:tcPr>
            <w:tcW w:w="620" w:type="dxa"/>
          </w:tcPr>
          <w:p>
            <w:pPr>
              <w:pStyle w:val="8"/>
              <w:spacing w:line="32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160" w:type="dxa"/>
          </w:tcPr>
          <w:p>
            <w:pPr>
              <w:pStyle w:val="8"/>
              <w:spacing w:line="32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647" w:type="dxa"/>
          </w:tcPr>
          <w:p>
            <w:pPr>
              <w:pStyle w:val="8"/>
              <w:spacing w:line="32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79" w:type="dxa"/>
            <w:vMerge w:val="continue"/>
            <w:tcBorders/>
          </w:tcPr>
          <w:p>
            <w:pPr>
              <w:spacing w:line="32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2" w:hRule="atLeast"/>
        </w:trPr>
        <w:tc>
          <w:tcPr>
            <w:tcW w:w="1611" w:type="dxa"/>
            <w:vMerge w:val="continue"/>
          </w:tcPr>
          <w:p>
            <w:pPr>
              <w:pStyle w:val="8"/>
              <w:spacing w:line="32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9828" w:type="dxa"/>
            <w:vAlign w:val="center"/>
          </w:tcPr>
          <w:p>
            <w:pPr>
              <w:pStyle w:val="8"/>
              <w:spacing w:line="320" w:lineRule="exact"/>
              <w:jc w:val="both"/>
              <w:rPr>
                <w:rFonts w:asciiTheme="minorEastAsia" w:hAnsiTheme="minorEastAsia" w:eastAsiaTheme="minorEastAsia" w:cstheme="minorEastAsia"/>
                <w:spacing w:val="-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(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)</w:t>
            </w:r>
            <w:r>
              <w:rPr>
                <w:rFonts w:hint="eastAsia" w:asciiTheme="minorEastAsia" w:hAnsiTheme="minorEastAsia" w:eastAsiaTheme="minorEastAsia" w:cstheme="minorEastAsia"/>
                <w:spacing w:val="-2"/>
                <w:sz w:val="21"/>
                <w:szCs w:val="21"/>
              </w:rPr>
              <w:t>人才培养项目计分。青年骨干教师：入选校级计1分，验收合格加0.5分；入选省级计2分，验收合格加1分</w:t>
            </w:r>
            <w:r>
              <w:rPr>
                <w:rFonts w:hint="eastAsia" w:asciiTheme="minorEastAsia" w:hAnsiTheme="minorEastAsia" w:eastAsiaTheme="minorEastAsia" w:cstheme="minorEastAsia"/>
                <w:spacing w:val="-2"/>
                <w:sz w:val="21"/>
                <w:szCs w:val="21"/>
                <w:lang w:eastAsia="zh-CN"/>
              </w:rPr>
              <w:t>(</w:t>
            </w:r>
            <w:r>
              <w:rPr>
                <w:rFonts w:hint="eastAsia" w:asciiTheme="minorEastAsia" w:hAnsiTheme="minorEastAsia" w:eastAsiaTheme="minorEastAsia" w:cstheme="minorEastAsia"/>
                <w:spacing w:val="-2"/>
                <w:sz w:val="21"/>
                <w:szCs w:val="21"/>
              </w:rPr>
              <w:t>取最高值计分，不重复计算</w:t>
            </w:r>
            <w:r>
              <w:rPr>
                <w:rFonts w:hint="eastAsia" w:asciiTheme="minorEastAsia" w:hAnsiTheme="minorEastAsia" w:eastAsiaTheme="minorEastAsia" w:cstheme="minorEastAsia"/>
                <w:spacing w:val="-2"/>
                <w:sz w:val="21"/>
                <w:szCs w:val="21"/>
                <w:lang w:eastAsia="zh-CN"/>
              </w:rPr>
              <w:t>)</w:t>
            </w:r>
            <w:r>
              <w:rPr>
                <w:rFonts w:hint="eastAsia" w:asciiTheme="minorEastAsia" w:hAnsiTheme="minorEastAsia" w:eastAsiaTheme="minorEastAsia" w:cstheme="minorEastAsia"/>
                <w:spacing w:val="-2"/>
                <w:sz w:val="21"/>
                <w:szCs w:val="21"/>
              </w:rPr>
              <w:t>。国内访问学者考核合格计1分。</w:t>
            </w:r>
          </w:p>
          <w:p>
            <w:pPr>
              <w:pStyle w:val="8"/>
              <w:spacing w:line="320" w:lineRule="exact"/>
              <w:jc w:val="both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21"/>
                <w:szCs w:val="21"/>
              </w:rPr>
              <w:t>人才工程：入选省级人才工程计5分，入选国家级人才工程计10分。此项同一人只取最高级计分，不重复计分。</w:t>
            </w:r>
          </w:p>
        </w:tc>
        <w:tc>
          <w:tcPr>
            <w:tcW w:w="620" w:type="dxa"/>
          </w:tcPr>
          <w:p>
            <w:pPr>
              <w:pStyle w:val="8"/>
              <w:spacing w:line="32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160" w:type="dxa"/>
          </w:tcPr>
          <w:p>
            <w:pPr>
              <w:pStyle w:val="8"/>
              <w:spacing w:line="32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647" w:type="dxa"/>
          </w:tcPr>
          <w:p>
            <w:pPr>
              <w:pStyle w:val="8"/>
              <w:spacing w:line="32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79" w:type="dxa"/>
            <w:vMerge w:val="continue"/>
            <w:tcBorders/>
          </w:tcPr>
          <w:p>
            <w:pPr>
              <w:spacing w:line="32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0" w:hRule="atLeast"/>
        </w:trPr>
        <w:tc>
          <w:tcPr>
            <w:tcW w:w="1611" w:type="dxa"/>
            <w:vMerge w:val="continue"/>
          </w:tcPr>
          <w:p>
            <w:pPr>
              <w:pStyle w:val="8"/>
              <w:spacing w:line="32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9828" w:type="dxa"/>
            <w:vAlign w:val="center"/>
          </w:tcPr>
          <w:p>
            <w:pPr>
              <w:pStyle w:val="8"/>
              <w:spacing w:line="320" w:lineRule="exact"/>
              <w:jc w:val="both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(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)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教师教学竞赛获奖：综合竞赛：国家级一等奖计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0分，二等奖计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0分，三等奖计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40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分；省级一等奖计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0分，二等奖计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分，三等奖计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分；校级一等奖计3分，二等奖计2分，三等奖计1分。分类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(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专项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)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竞赛：国家</w:t>
            </w:r>
            <w:r>
              <w:rPr>
                <w:rFonts w:hint="eastAsia" w:asciiTheme="minorEastAsia" w:hAnsiTheme="minorEastAsia" w:eastAsiaTheme="minorEastAsia" w:cstheme="minorEastAsia"/>
                <w:spacing w:val="-6"/>
                <w:sz w:val="21"/>
                <w:szCs w:val="21"/>
              </w:rPr>
              <w:t>级一等奖计</w:t>
            </w:r>
            <w:r>
              <w:rPr>
                <w:rFonts w:hint="eastAsia" w:asciiTheme="minorEastAsia" w:hAnsiTheme="minorEastAsia" w:eastAsiaTheme="minorEastAsia" w:cstheme="minorEastAsia"/>
                <w:spacing w:val="-6"/>
                <w:sz w:val="21"/>
                <w:szCs w:val="21"/>
                <w:lang w:val="en-US" w:eastAsia="zh-CN"/>
              </w:rPr>
              <w:t>30</w:t>
            </w:r>
            <w:r>
              <w:rPr>
                <w:rFonts w:hint="eastAsia" w:asciiTheme="minorEastAsia" w:hAnsiTheme="minorEastAsia" w:eastAsiaTheme="minorEastAsia" w:cstheme="minorEastAsia"/>
                <w:spacing w:val="-6"/>
                <w:sz w:val="21"/>
                <w:szCs w:val="21"/>
              </w:rPr>
              <w:t>分，二等奖计</w:t>
            </w:r>
            <w:r>
              <w:rPr>
                <w:rFonts w:hint="eastAsia" w:asciiTheme="minorEastAsia" w:hAnsiTheme="minorEastAsia" w:eastAsiaTheme="minorEastAsia" w:cstheme="minorEastAsia"/>
                <w:spacing w:val="-6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Theme="minorEastAsia" w:hAnsiTheme="minorEastAsia" w:eastAsiaTheme="minorEastAsia" w:cstheme="minorEastAsia"/>
                <w:spacing w:val="-6"/>
                <w:sz w:val="21"/>
                <w:szCs w:val="21"/>
              </w:rPr>
              <w:t>分，三等奖计10分；省级一等奖计8分，二等奖计6分， 三等奖计4分；校级一等奖计2分，二等奖计1分，三等奖计0.5分，其他名次不计分，同一奖项类别只取最高级计分，不重复计分。</w:t>
            </w:r>
          </w:p>
        </w:tc>
        <w:tc>
          <w:tcPr>
            <w:tcW w:w="620" w:type="dxa"/>
          </w:tcPr>
          <w:p>
            <w:pPr>
              <w:pStyle w:val="8"/>
              <w:spacing w:line="32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160" w:type="dxa"/>
          </w:tcPr>
          <w:p>
            <w:pPr>
              <w:pStyle w:val="8"/>
              <w:spacing w:line="32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647" w:type="dxa"/>
          </w:tcPr>
          <w:p>
            <w:pPr>
              <w:pStyle w:val="8"/>
              <w:spacing w:line="32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79" w:type="dxa"/>
            <w:vMerge w:val="continue"/>
            <w:tcBorders/>
          </w:tcPr>
          <w:p>
            <w:pPr>
              <w:spacing w:line="32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0" w:hRule="atLeast"/>
        </w:trPr>
        <w:tc>
          <w:tcPr>
            <w:tcW w:w="1611" w:type="dxa"/>
            <w:vMerge w:val="continue"/>
          </w:tcPr>
          <w:p>
            <w:pPr>
              <w:pStyle w:val="8"/>
              <w:spacing w:line="32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9828" w:type="dxa"/>
            <w:vAlign w:val="center"/>
          </w:tcPr>
          <w:p>
            <w:pPr>
              <w:pStyle w:val="8"/>
              <w:spacing w:line="320" w:lineRule="exact"/>
              <w:jc w:val="both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(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)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指导学生学科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(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含互联网+创新创业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)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竞赛：A 类：国家级一等奖计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30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分，二等奖计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分，三等奖计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分；省级一等奖计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分，二等奖计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分，三等奖计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分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其他不计分。B 类：国家级一等奖计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分，二等奖计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分，三等奖计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分；省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(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校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)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级一等奖计1分，二等奖和三等奖各计0.5分。多人参与的取前3名，根据排序依次按0.6、0.25、0.15的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  <w:t>比例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计分。同一项目取最高奖项计分。</w:t>
            </w:r>
          </w:p>
        </w:tc>
        <w:tc>
          <w:tcPr>
            <w:tcW w:w="620" w:type="dxa"/>
          </w:tcPr>
          <w:p>
            <w:pPr>
              <w:pStyle w:val="8"/>
              <w:spacing w:line="32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160" w:type="dxa"/>
          </w:tcPr>
          <w:p>
            <w:pPr>
              <w:pStyle w:val="8"/>
              <w:spacing w:line="32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647" w:type="dxa"/>
          </w:tcPr>
          <w:p>
            <w:pPr>
              <w:pStyle w:val="8"/>
              <w:spacing w:line="32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79" w:type="dxa"/>
            <w:vMerge w:val="continue"/>
            <w:tcBorders/>
          </w:tcPr>
          <w:p>
            <w:pPr>
              <w:spacing w:line="32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5" w:hRule="atLeast"/>
        </w:trPr>
        <w:tc>
          <w:tcPr>
            <w:tcW w:w="1611" w:type="dxa"/>
            <w:vMerge w:val="continue"/>
          </w:tcPr>
          <w:p>
            <w:pPr>
              <w:pStyle w:val="8"/>
              <w:spacing w:line="32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9828" w:type="dxa"/>
            <w:vAlign w:val="center"/>
          </w:tcPr>
          <w:p>
            <w:pPr>
              <w:pStyle w:val="8"/>
              <w:spacing w:line="320" w:lineRule="exact"/>
              <w:jc w:val="both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(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)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指导学生文体竞赛。国家级：第一等级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(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金奖/牌、第1-2名、最佳单项奖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)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计6分/项；第二等级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(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银奖/牌、第3-5名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)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奖励计5分/项；第三等级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(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铜奖/牌、第6-8名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)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计 4 分/项。 省级：第一等级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(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金奖、第1-2名、最佳单项奖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)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计3分/项；第二等级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(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银奖、第3-5名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)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计2分/项；第三等级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(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铜奖、第6-8名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)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计1分/项。多人参与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  <w:t>指导，只取前两名，分别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按0.6、0.4的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  <w:t>比例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计分。同一项目取最高值计分。</w:t>
            </w:r>
          </w:p>
        </w:tc>
        <w:tc>
          <w:tcPr>
            <w:tcW w:w="620" w:type="dxa"/>
          </w:tcPr>
          <w:p>
            <w:pPr>
              <w:pStyle w:val="8"/>
              <w:spacing w:line="32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160" w:type="dxa"/>
          </w:tcPr>
          <w:p>
            <w:pPr>
              <w:pStyle w:val="8"/>
              <w:spacing w:line="32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647" w:type="dxa"/>
          </w:tcPr>
          <w:p>
            <w:pPr>
              <w:pStyle w:val="8"/>
              <w:spacing w:line="32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79" w:type="dxa"/>
            <w:vMerge w:val="continue"/>
            <w:tcBorders/>
          </w:tcPr>
          <w:p>
            <w:pPr>
              <w:spacing w:line="32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5" w:hRule="atLeast"/>
        </w:trPr>
        <w:tc>
          <w:tcPr>
            <w:tcW w:w="1611" w:type="dxa"/>
            <w:vMerge w:val="continue"/>
            <w:tcBorders>
              <w:bottom w:val="single" w:color="000000" w:sz="4" w:space="0"/>
            </w:tcBorders>
          </w:tcPr>
          <w:p>
            <w:pPr>
              <w:pStyle w:val="8"/>
              <w:spacing w:line="32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9828" w:type="dxa"/>
            <w:tcBorders>
              <w:bottom w:val="single" w:color="000000" w:sz="4" w:space="0"/>
            </w:tcBorders>
            <w:vAlign w:val="center"/>
          </w:tcPr>
          <w:p>
            <w:pPr>
              <w:pStyle w:val="8"/>
              <w:spacing w:line="320" w:lineRule="exact"/>
              <w:jc w:val="both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(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9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)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指导学生参加大学生创新创业训练计划项目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(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原大学生研究性学习和创新性实验计划项目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)(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累积最高分值6分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)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。国家级计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分，省级计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分，校级计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分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(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校级累积最高计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分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)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；同一项目只取最高级计分；其他类似项目按此标准计分。</w:t>
            </w:r>
          </w:p>
        </w:tc>
        <w:tc>
          <w:tcPr>
            <w:tcW w:w="620" w:type="dxa"/>
            <w:tcBorders>
              <w:bottom w:val="single" w:color="000000" w:sz="4" w:space="0"/>
            </w:tcBorders>
          </w:tcPr>
          <w:p>
            <w:pPr>
              <w:pStyle w:val="8"/>
              <w:spacing w:line="32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160" w:type="dxa"/>
            <w:tcBorders>
              <w:bottom w:val="single" w:color="000000" w:sz="4" w:space="0"/>
            </w:tcBorders>
          </w:tcPr>
          <w:p>
            <w:pPr>
              <w:pStyle w:val="8"/>
              <w:spacing w:line="32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647" w:type="dxa"/>
            <w:tcBorders>
              <w:bottom w:val="single" w:color="000000" w:sz="4" w:space="0"/>
            </w:tcBorders>
          </w:tcPr>
          <w:p>
            <w:pPr>
              <w:pStyle w:val="8"/>
              <w:spacing w:line="32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79" w:type="dxa"/>
            <w:vMerge w:val="continue"/>
            <w:tcBorders>
              <w:bottom w:val="single" w:color="000000" w:sz="4" w:space="0"/>
            </w:tcBorders>
          </w:tcPr>
          <w:p>
            <w:pPr>
              <w:spacing w:line="32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</w:tbl>
    <w:p>
      <w:pPr>
        <w:spacing w:line="320" w:lineRule="exact"/>
        <w:rPr>
          <w:rFonts w:asciiTheme="minorEastAsia" w:hAnsiTheme="minorEastAsia" w:eastAsiaTheme="minorEastAsia" w:cstheme="minorEastAsia"/>
          <w:sz w:val="21"/>
          <w:szCs w:val="21"/>
        </w:rPr>
        <w:sectPr>
          <w:footerReference r:id="rId4" w:type="default"/>
          <w:pgSz w:w="16840" w:h="11910" w:orient="landscape"/>
          <w:pgMar w:top="1100" w:right="920" w:bottom="1080" w:left="940" w:header="0" w:footer="890" w:gutter="0"/>
          <w:pgNumType w:fmt="decimal"/>
          <w:cols w:space="720" w:num="1"/>
        </w:sectPr>
      </w:pPr>
    </w:p>
    <w:p>
      <w:pPr>
        <w:pStyle w:val="3"/>
        <w:spacing w:line="320" w:lineRule="exact"/>
        <w:ind w:left="0"/>
        <w:rPr>
          <w:rFonts w:asciiTheme="minorEastAsia" w:hAnsiTheme="minorEastAsia" w:eastAsiaTheme="minorEastAsia" w:cstheme="minorEastAsia"/>
          <w:sz w:val="21"/>
          <w:szCs w:val="21"/>
        </w:rPr>
      </w:pPr>
    </w:p>
    <w:p>
      <w:pPr>
        <w:pStyle w:val="3"/>
        <w:spacing w:line="320" w:lineRule="exact"/>
        <w:ind w:left="0"/>
        <w:rPr>
          <w:rFonts w:asciiTheme="minorEastAsia" w:hAnsiTheme="minorEastAsia" w:eastAsiaTheme="minorEastAsia" w:cstheme="minorEastAsia"/>
          <w:sz w:val="21"/>
          <w:szCs w:val="21"/>
        </w:rPr>
      </w:pPr>
    </w:p>
    <w:tbl>
      <w:tblPr>
        <w:tblStyle w:val="6"/>
        <w:tblW w:w="0" w:type="auto"/>
        <w:tblInd w:w="11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11"/>
        <w:gridCol w:w="9704"/>
        <w:gridCol w:w="744"/>
        <w:gridCol w:w="1160"/>
        <w:gridCol w:w="647"/>
        <w:gridCol w:w="87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5" w:hRule="atLeast"/>
        </w:trPr>
        <w:tc>
          <w:tcPr>
            <w:tcW w:w="1611" w:type="dxa"/>
            <w:vMerge w:val="restart"/>
            <w:vAlign w:val="center"/>
          </w:tcPr>
          <w:p>
            <w:pPr>
              <w:pStyle w:val="8"/>
              <w:spacing w:line="320" w:lineRule="exact"/>
              <w:jc w:val="center"/>
              <w:rPr>
                <w:rFonts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  <w:t>3.科学研究</w:t>
            </w:r>
          </w:p>
        </w:tc>
        <w:tc>
          <w:tcPr>
            <w:tcW w:w="9704" w:type="dxa"/>
            <w:vAlign w:val="center"/>
          </w:tcPr>
          <w:p>
            <w:pPr>
              <w:pStyle w:val="8"/>
              <w:spacing w:line="320" w:lineRule="exact"/>
              <w:jc w:val="both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(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)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科研成果获奖：国家级一等奖100分、一等奖80分、三等奖60分；省级一等奖40分、一等奖30分、三等奖20分，校级一等奖6分，二等奖4分，三等奖2分。参与者取前5名，根据排名依次按0.6、0.2、0.1、0.05、0.05的比例计分。</w:t>
            </w:r>
          </w:p>
        </w:tc>
        <w:tc>
          <w:tcPr>
            <w:tcW w:w="744" w:type="dxa"/>
            <w:tcBorders>
              <w:right w:val="single" w:color="auto" w:sz="4" w:space="0"/>
            </w:tcBorders>
          </w:tcPr>
          <w:p>
            <w:pPr>
              <w:pStyle w:val="8"/>
              <w:spacing w:line="32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spacing w:line="32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spacing w:line="32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7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spacing w:line="32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5" w:hRule="atLeast"/>
        </w:trPr>
        <w:tc>
          <w:tcPr>
            <w:tcW w:w="1611" w:type="dxa"/>
            <w:vMerge w:val="continue"/>
          </w:tcPr>
          <w:p>
            <w:pPr>
              <w:spacing w:line="32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9704" w:type="dxa"/>
            <w:vAlign w:val="center"/>
          </w:tcPr>
          <w:p>
            <w:pPr>
              <w:pStyle w:val="8"/>
              <w:spacing w:line="320" w:lineRule="exact"/>
              <w:jc w:val="both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w w:val="95"/>
                <w:sz w:val="21"/>
                <w:szCs w:val="21"/>
                <w:lang w:eastAsia="zh-CN"/>
              </w:rPr>
              <w:t>(</w:t>
            </w:r>
            <w:r>
              <w:rPr>
                <w:rFonts w:hint="eastAsia" w:asciiTheme="minorEastAsia" w:hAnsiTheme="minorEastAsia" w:eastAsiaTheme="minorEastAsia" w:cstheme="minorEastAsia"/>
                <w:w w:val="95"/>
                <w:sz w:val="21"/>
                <w:szCs w:val="21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w w:val="95"/>
                <w:sz w:val="21"/>
                <w:szCs w:val="21"/>
                <w:lang w:eastAsia="zh-CN"/>
              </w:rPr>
              <w:t>)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论文：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是指独立或以第一作者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在省级以上公开出版的期刊上发表的论文，以下期刊等级参照《湖南信息学院科研成果认定和科时量化暂行办法》的规定执行。计分标准如下：A 级期刊论文：每篇计20分；B-1级期刊论文：每篇计15分；B-2级期刊论文：每篇计10分；C-1级期刊论文：每篇计5分；C-2级期刊论文：每篇计1.5 分；C-3级期刊论文：每篇计1分；D 级期刊论文：每篇计0.5分。参评论文计分数量：申报正高级限计5篇，副高级限计3篇。如全部为C1级及以上刊物文章，可不受以上数量限制。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/>
              </w:rPr>
              <w:t>参与者不计分。</w:t>
            </w:r>
          </w:p>
        </w:tc>
        <w:tc>
          <w:tcPr>
            <w:tcW w:w="744" w:type="dxa"/>
            <w:tcBorders>
              <w:right w:val="single" w:color="auto" w:sz="4" w:space="0"/>
            </w:tcBorders>
          </w:tcPr>
          <w:p>
            <w:pPr>
              <w:pStyle w:val="8"/>
              <w:spacing w:line="32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spacing w:line="32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spacing w:line="32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79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spacing w:line="32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0" w:hRule="atLeast"/>
        </w:trPr>
        <w:tc>
          <w:tcPr>
            <w:tcW w:w="1611" w:type="dxa"/>
            <w:vMerge w:val="continue"/>
          </w:tcPr>
          <w:p>
            <w:pPr>
              <w:spacing w:line="32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9704" w:type="dxa"/>
            <w:vAlign w:val="center"/>
          </w:tcPr>
          <w:p>
            <w:pPr>
              <w:pStyle w:val="8"/>
              <w:spacing w:line="320" w:lineRule="exact"/>
              <w:jc w:val="both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(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)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原创作品、产品</w:t>
            </w:r>
          </w:p>
          <w:p>
            <w:pPr>
              <w:pStyle w:val="8"/>
              <w:spacing w:line="320" w:lineRule="exact"/>
              <w:jc w:val="both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A.艺</w:t>
            </w:r>
            <w:r>
              <w:rPr>
                <w:rFonts w:hint="eastAsia" w:asciiTheme="minorEastAsia" w:hAnsiTheme="minorEastAsia" w:eastAsiaTheme="minorEastAsia" w:cstheme="minorEastAsia"/>
                <w:spacing w:val="-2"/>
                <w:sz w:val="21"/>
                <w:szCs w:val="21"/>
              </w:rPr>
              <w:t>术类、文艺类作品独创或合创第一名在省级以上正式刊物发表，根据出版刊物的级别</w:t>
            </w:r>
            <w:r>
              <w:rPr>
                <w:rFonts w:hint="eastAsia" w:asciiTheme="minorEastAsia" w:hAnsiTheme="minorEastAsia" w:eastAsiaTheme="minorEastAsia" w:cstheme="minorEastAsia"/>
                <w:spacing w:val="-2"/>
                <w:sz w:val="21"/>
                <w:szCs w:val="21"/>
                <w:lang w:val="en-US"/>
              </w:rPr>
              <w:t>参照</w:t>
            </w:r>
            <w:r>
              <w:rPr>
                <w:rFonts w:hint="eastAsia" w:asciiTheme="minorEastAsia" w:hAnsiTheme="minorEastAsia" w:eastAsiaTheme="minorEastAsia" w:cstheme="minorEastAsia"/>
                <w:spacing w:val="-2"/>
                <w:sz w:val="21"/>
                <w:szCs w:val="21"/>
              </w:rPr>
              <w:t>论文</w:t>
            </w:r>
            <w:r>
              <w:rPr>
                <w:rFonts w:hint="eastAsia" w:asciiTheme="minorEastAsia" w:hAnsiTheme="minorEastAsia" w:eastAsiaTheme="minorEastAsia" w:cstheme="minorEastAsia"/>
                <w:spacing w:val="-2"/>
                <w:sz w:val="21"/>
                <w:szCs w:val="21"/>
                <w:lang w:val="en-US"/>
              </w:rPr>
              <w:t>等级</w:t>
            </w:r>
            <w:r>
              <w:rPr>
                <w:rFonts w:hint="eastAsia" w:asciiTheme="minorEastAsia" w:hAnsiTheme="minorEastAsia" w:eastAsiaTheme="minorEastAsia" w:cstheme="minorEastAsia"/>
                <w:spacing w:val="-2"/>
                <w:sz w:val="21"/>
                <w:szCs w:val="21"/>
              </w:rPr>
              <w:t>计算分值，每两版面及以上的分值为100%,1个版面的分值为50%，半个版面的分值为50%，四分之一版面的计25%。</w:t>
            </w:r>
          </w:p>
          <w:p>
            <w:pPr>
              <w:pStyle w:val="8"/>
              <w:spacing w:line="320" w:lineRule="exact"/>
              <w:jc w:val="both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B.艺术类、文艺类作品独创或合创参加中宣部、文化部、教育部、中国作家协会、中国音乐家协会、中国</w:t>
            </w:r>
          </w:p>
          <w:p>
            <w:pPr>
              <w:pStyle w:val="8"/>
              <w:spacing w:line="320" w:lineRule="exact"/>
              <w:jc w:val="both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舞蹈家协会、中国设计艺术家协会、中国美术家协会展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(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演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)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与评奖。国家级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(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不分等级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)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展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(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演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)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与获</w:t>
            </w:r>
          </w:p>
          <w:p>
            <w:pPr>
              <w:pStyle w:val="8"/>
              <w:spacing w:line="320" w:lineRule="exact"/>
              <w:jc w:val="both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奖一次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(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每一类只计最权威的展演，由分支机构或协办机构挂名举办的展演不计分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)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计 2 分；省级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(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不分</w:t>
            </w:r>
          </w:p>
          <w:p>
            <w:pPr>
              <w:pStyle w:val="8"/>
              <w:spacing w:line="320" w:lineRule="exact"/>
              <w:jc w:val="both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等级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)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展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(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演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)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与获奖一次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(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由分支机构或协办机构挂名举办的展演不计分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)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计 1 分。同一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部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作品获多项</w:t>
            </w:r>
          </w:p>
          <w:p>
            <w:pPr>
              <w:pStyle w:val="8"/>
              <w:spacing w:line="320" w:lineRule="exact"/>
              <w:jc w:val="both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奖励，取最高一项计分，多项作品获奖可累加计分。</w:t>
            </w:r>
          </w:p>
          <w:p>
            <w:pPr>
              <w:pStyle w:val="8"/>
              <w:spacing w:line="320" w:lineRule="exact"/>
              <w:jc w:val="both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C.工艺类作品参加政府和中国工艺美术家协会举办的展览。国家级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(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不分等级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)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展览一次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(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由分支机构或</w:t>
            </w:r>
          </w:p>
          <w:p>
            <w:pPr>
              <w:pStyle w:val="8"/>
              <w:spacing w:line="320" w:lineRule="exact"/>
              <w:jc w:val="both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协办机构挂名举办的展演不计分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)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计5分；省级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(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不分等级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)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展览一次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(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由分支机构或协办机构挂名举办</w:t>
            </w:r>
          </w:p>
          <w:p>
            <w:pPr>
              <w:pStyle w:val="8"/>
              <w:spacing w:line="320" w:lineRule="exact"/>
              <w:jc w:val="both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地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展演不计分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)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计1分。同一项作品获多项奖励，取最高一项计分，多项作品获奖可累加计分。</w:t>
            </w:r>
          </w:p>
          <w:p>
            <w:pPr>
              <w:pStyle w:val="8"/>
              <w:spacing w:line="320" w:lineRule="exact"/>
              <w:jc w:val="both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以上作品所获荣誉为团队者，只取前两名，第一指导人的分值不变，第二指导人按该项分值的 60%计算。</w:t>
            </w:r>
          </w:p>
        </w:tc>
        <w:tc>
          <w:tcPr>
            <w:tcW w:w="744" w:type="dxa"/>
            <w:tcBorders>
              <w:right w:val="single" w:color="auto" w:sz="4" w:space="0"/>
            </w:tcBorders>
          </w:tcPr>
          <w:p>
            <w:pPr>
              <w:pStyle w:val="8"/>
              <w:spacing w:line="32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spacing w:line="32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spacing w:line="32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79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spacing w:line="32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5" w:hRule="atLeast"/>
        </w:trPr>
        <w:tc>
          <w:tcPr>
            <w:tcW w:w="1611" w:type="dxa"/>
            <w:vMerge w:val="continue"/>
            <w:tcBorders>
              <w:bottom w:val="single" w:color="auto" w:sz="4" w:space="0"/>
            </w:tcBorders>
          </w:tcPr>
          <w:p>
            <w:pPr>
              <w:spacing w:line="32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9704" w:type="dxa"/>
            <w:vAlign w:val="center"/>
          </w:tcPr>
          <w:p>
            <w:pPr>
              <w:pStyle w:val="8"/>
              <w:spacing w:line="320" w:lineRule="exact"/>
              <w:jc w:val="both"/>
              <w:rPr>
                <w:rFonts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(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)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主持课题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eastAsia="zh-CN"/>
              </w:rPr>
              <w:t>(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含科研、教改等项目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eastAsia="zh-CN"/>
              </w:rPr>
              <w:t>)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。以下项目等级参照《湖南信息学院科研成果认定和科时量化暂行   办法》的规定执行。国家级重大项目A类计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0分；国家级重大项目B类计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0分；国家级重点项目计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0分；国家级一般项目计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0分；省社科、自科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基金重点项目计40分、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一般项目计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分；省部级一般项目计2分；厅级项目计1.5分；校级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(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仅限本校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)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重点项目计1分，校级一般项目计0.5分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(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校级项目累积最高计3分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)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。申报正高级职称时，省级一般教学改革、规划自筹项目与教育厅科学研究重点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(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青年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)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项目限计2项，厅级一般科学研究项目限计1项；申报副高级职称时厅级一般科学研究项目限计2项。参与者取前5名，根据排名依次按0.6、0.2、0.1、0.05、0.05的比例计分。</w:t>
            </w:r>
          </w:p>
        </w:tc>
        <w:tc>
          <w:tcPr>
            <w:tcW w:w="744" w:type="dxa"/>
            <w:tcBorders>
              <w:right w:val="single" w:color="auto" w:sz="4" w:space="0"/>
            </w:tcBorders>
          </w:tcPr>
          <w:p>
            <w:pPr>
              <w:pStyle w:val="8"/>
              <w:spacing w:line="32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spacing w:line="32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spacing w:line="32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7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</w:tbl>
    <w:p>
      <w:pPr>
        <w:spacing w:line="320" w:lineRule="exact"/>
        <w:rPr>
          <w:rFonts w:asciiTheme="minorEastAsia" w:hAnsiTheme="minorEastAsia" w:eastAsiaTheme="minorEastAsia" w:cstheme="minorEastAsia"/>
          <w:sz w:val="21"/>
          <w:szCs w:val="21"/>
        </w:rPr>
        <w:sectPr>
          <w:pgSz w:w="16840" w:h="11910" w:orient="landscape"/>
          <w:pgMar w:top="1100" w:right="920" w:bottom="1080" w:left="940" w:header="0" w:footer="890" w:gutter="0"/>
          <w:pgNumType w:fmt="decimal"/>
          <w:cols w:space="720" w:num="1"/>
        </w:sectPr>
      </w:pPr>
    </w:p>
    <w:p>
      <w:pPr>
        <w:pStyle w:val="3"/>
        <w:spacing w:line="320" w:lineRule="exact"/>
        <w:ind w:left="0"/>
        <w:rPr>
          <w:rFonts w:asciiTheme="minorEastAsia" w:hAnsiTheme="minorEastAsia" w:eastAsiaTheme="minorEastAsia" w:cstheme="minorEastAsia"/>
          <w:sz w:val="21"/>
          <w:szCs w:val="21"/>
        </w:rPr>
      </w:pPr>
    </w:p>
    <w:p>
      <w:pPr>
        <w:pStyle w:val="3"/>
        <w:spacing w:line="320" w:lineRule="exact"/>
        <w:ind w:left="0"/>
        <w:rPr>
          <w:rFonts w:asciiTheme="minorEastAsia" w:hAnsiTheme="minorEastAsia" w:eastAsiaTheme="minorEastAsia" w:cstheme="minorEastAsia"/>
          <w:sz w:val="21"/>
          <w:szCs w:val="21"/>
        </w:rPr>
      </w:pPr>
    </w:p>
    <w:tbl>
      <w:tblPr>
        <w:tblStyle w:val="6"/>
        <w:tblW w:w="14745" w:type="dxa"/>
        <w:tblInd w:w="11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11"/>
        <w:gridCol w:w="9704"/>
        <w:gridCol w:w="744"/>
        <w:gridCol w:w="1160"/>
        <w:gridCol w:w="647"/>
        <w:gridCol w:w="87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8" w:hRule="atLeast"/>
        </w:trPr>
        <w:tc>
          <w:tcPr>
            <w:tcW w:w="1611" w:type="dxa"/>
            <w:vMerge w:val="restart"/>
            <w:vAlign w:val="center"/>
          </w:tcPr>
          <w:p>
            <w:pPr>
              <w:pStyle w:val="8"/>
              <w:spacing w:line="32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  <w:t>3.科学研究</w:t>
            </w:r>
          </w:p>
        </w:tc>
        <w:tc>
          <w:tcPr>
            <w:tcW w:w="9704" w:type="dxa"/>
            <w:vAlign w:val="center"/>
          </w:tcPr>
          <w:p>
            <w:pPr>
              <w:jc w:val="both"/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(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)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著作每部5分。教材：国家级规划教材独立主编计20分，省级规划教材独立主编计6分，非规划教材主篇计2分，副主编和参编计0.5分。 国家级规划教材不限数量，省级规划教材最多限报5本，专著和其他教材限报2本。所有著作教材均须提供查询证明。参与者取前5名，根据排名依次按0.6、0.2、0.1、0.05、0.05的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  <w:t>比例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计分。</w:t>
            </w:r>
          </w:p>
        </w:tc>
        <w:tc>
          <w:tcPr>
            <w:tcW w:w="744" w:type="dxa"/>
          </w:tcPr>
          <w:p>
            <w:pPr>
              <w:pStyle w:val="8"/>
              <w:spacing w:line="32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160" w:type="dxa"/>
          </w:tcPr>
          <w:p>
            <w:pPr>
              <w:pStyle w:val="8"/>
              <w:spacing w:line="32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647" w:type="dxa"/>
            <w:tcBorders>
              <w:right w:val="single" w:color="auto" w:sz="4" w:space="0"/>
            </w:tcBorders>
          </w:tcPr>
          <w:p>
            <w:pPr>
              <w:pStyle w:val="8"/>
              <w:spacing w:line="32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7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spacing w:line="32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611" w:type="dxa"/>
            <w:vMerge w:val="continue"/>
          </w:tcPr>
          <w:p>
            <w:pPr>
              <w:pStyle w:val="8"/>
              <w:spacing w:line="32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9704" w:type="dxa"/>
            <w:vAlign w:val="center"/>
          </w:tcPr>
          <w:p>
            <w:pPr>
              <w:pStyle w:val="8"/>
              <w:spacing w:line="320" w:lineRule="exact"/>
              <w:jc w:val="both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(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)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主持横向项目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根据累计到账经费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(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不含设备购置费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)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，社科类每1万元计1分，自科类每1万元计0.5分。横向项目到账经费由学校财务处提供证明，报教务处或科研处审核。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  <w:t>参与者不计分。</w:t>
            </w:r>
          </w:p>
        </w:tc>
        <w:tc>
          <w:tcPr>
            <w:tcW w:w="744" w:type="dxa"/>
          </w:tcPr>
          <w:p>
            <w:pPr>
              <w:pStyle w:val="8"/>
              <w:spacing w:line="32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160" w:type="dxa"/>
          </w:tcPr>
          <w:p>
            <w:pPr>
              <w:pStyle w:val="8"/>
              <w:spacing w:line="32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647" w:type="dxa"/>
            <w:tcBorders>
              <w:right w:val="single" w:color="auto" w:sz="4" w:space="0"/>
            </w:tcBorders>
          </w:tcPr>
          <w:p>
            <w:pPr>
              <w:pStyle w:val="8"/>
              <w:spacing w:line="32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spacing w:line="32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0" w:hRule="atLeast"/>
        </w:trPr>
        <w:tc>
          <w:tcPr>
            <w:tcW w:w="1611" w:type="dxa"/>
            <w:vMerge w:val="continue"/>
          </w:tcPr>
          <w:p>
            <w:pPr>
              <w:pStyle w:val="8"/>
              <w:spacing w:line="32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9704" w:type="dxa"/>
            <w:vAlign w:val="center"/>
          </w:tcPr>
          <w:p>
            <w:pPr>
              <w:pStyle w:val="8"/>
              <w:spacing w:line="320" w:lineRule="exact"/>
              <w:jc w:val="both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(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)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专利及软件著作权等：获得国家发明专利每项计10分，获得实用新型专利每项计1.5分，多人参与的取前3名，根据排名依次按0.6、0.25、0.15计分；获外观设计专利授权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  <w:t>每项计1分，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软件著作权等每项计0.5分，多人参与的取前3名，根据排名依次按0.6、0.25、0.15计分。国家发明专利不受数量限制，专利限报5项，软件著作权限报2项。</w:t>
            </w:r>
          </w:p>
        </w:tc>
        <w:tc>
          <w:tcPr>
            <w:tcW w:w="744" w:type="dxa"/>
          </w:tcPr>
          <w:p>
            <w:pPr>
              <w:pStyle w:val="8"/>
              <w:spacing w:line="32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pStyle w:val="8"/>
              <w:spacing w:line="32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160" w:type="dxa"/>
          </w:tcPr>
          <w:p>
            <w:pPr>
              <w:pStyle w:val="8"/>
              <w:spacing w:line="32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647" w:type="dxa"/>
            <w:tcBorders>
              <w:right w:val="single" w:color="auto" w:sz="4" w:space="0"/>
            </w:tcBorders>
          </w:tcPr>
          <w:p>
            <w:pPr>
              <w:pStyle w:val="8"/>
              <w:spacing w:line="32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611" w:type="dxa"/>
            <w:vMerge w:val="continue"/>
          </w:tcPr>
          <w:p>
            <w:pPr>
              <w:pStyle w:val="8"/>
              <w:spacing w:line="32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9704" w:type="dxa"/>
            <w:vAlign w:val="center"/>
          </w:tcPr>
          <w:p>
            <w:pPr>
              <w:pStyle w:val="8"/>
              <w:spacing w:line="320" w:lineRule="exact"/>
              <w:jc w:val="both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(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)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成果转化与实施：自科类每1万元计1分、社科类每1万元计2分。</w:t>
            </w:r>
          </w:p>
        </w:tc>
        <w:tc>
          <w:tcPr>
            <w:tcW w:w="744" w:type="dxa"/>
          </w:tcPr>
          <w:p>
            <w:pPr>
              <w:pStyle w:val="8"/>
              <w:spacing w:line="32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160" w:type="dxa"/>
          </w:tcPr>
          <w:p>
            <w:pPr>
              <w:pStyle w:val="8"/>
              <w:spacing w:line="32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647" w:type="dxa"/>
            <w:tcBorders>
              <w:right w:val="single" w:color="auto" w:sz="4" w:space="0"/>
            </w:tcBorders>
          </w:tcPr>
          <w:p>
            <w:pPr>
              <w:pStyle w:val="8"/>
              <w:spacing w:line="32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5" w:hRule="atLeast"/>
        </w:trPr>
        <w:tc>
          <w:tcPr>
            <w:tcW w:w="1611" w:type="dxa"/>
            <w:vMerge w:val="continue"/>
          </w:tcPr>
          <w:p>
            <w:pPr>
              <w:pStyle w:val="8"/>
              <w:spacing w:line="32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9704" w:type="dxa"/>
            <w:vAlign w:val="center"/>
          </w:tcPr>
          <w:p>
            <w:pPr>
              <w:pStyle w:val="8"/>
              <w:spacing w:line="320" w:lineRule="exact"/>
              <w:jc w:val="both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(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9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)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其他社会服务：A：研究报告被党中央、国务院采纳的计30分，被省委省政府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(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含国家部委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)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采纳的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计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20分，被地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(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厅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)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级政府部门采纳计10分。B：为地方解决重大社会问题，得到市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(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厅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)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级以上政府嘉奖和立功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(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不分等级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)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，共计6分。多人参与的取前5名，根据排名依次按0.6、0.2、0.1、0.05、0.05的比例计分。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(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同一证书在师德项目中计分的，不再在此项计分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)</w:t>
            </w:r>
          </w:p>
        </w:tc>
        <w:tc>
          <w:tcPr>
            <w:tcW w:w="744" w:type="dxa"/>
          </w:tcPr>
          <w:p>
            <w:pPr>
              <w:pStyle w:val="8"/>
              <w:spacing w:line="32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160" w:type="dxa"/>
          </w:tcPr>
          <w:p>
            <w:pPr>
              <w:pStyle w:val="8"/>
              <w:spacing w:line="32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647" w:type="dxa"/>
            <w:tcBorders>
              <w:right w:val="single" w:color="auto" w:sz="4" w:space="0"/>
            </w:tcBorders>
          </w:tcPr>
          <w:p>
            <w:pPr>
              <w:pStyle w:val="8"/>
              <w:spacing w:line="32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</w:trPr>
        <w:tc>
          <w:tcPr>
            <w:tcW w:w="1611" w:type="dxa"/>
            <w:vMerge w:val="restart"/>
            <w:vAlign w:val="center"/>
          </w:tcPr>
          <w:p>
            <w:pPr>
              <w:pStyle w:val="8"/>
              <w:spacing w:line="32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  <w:t>4.其他计分</w:t>
            </w:r>
          </w:p>
        </w:tc>
        <w:tc>
          <w:tcPr>
            <w:tcW w:w="9704" w:type="dxa"/>
            <w:tcBorders>
              <w:bottom w:val="single" w:color="auto" w:sz="4" w:space="0"/>
            </w:tcBorders>
            <w:vAlign w:val="center"/>
          </w:tcPr>
          <w:p>
            <w:pPr>
              <w:pStyle w:val="8"/>
              <w:spacing w:line="320" w:lineRule="exact"/>
              <w:jc w:val="both"/>
              <w:rPr>
                <w:rFonts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(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)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继续教育：具备省人社部门出具的专业技术人员继续教育合格证明的计3分。</w:t>
            </w:r>
          </w:p>
        </w:tc>
        <w:tc>
          <w:tcPr>
            <w:tcW w:w="744" w:type="dxa"/>
            <w:tcBorders>
              <w:bottom w:val="single" w:color="auto" w:sz="4" w:space="0"/>
            </w:tcBorders>
          </w:tcPr>
          <w:p>
            <w:pPr>
              <w:pStyle w:val="8"/>
              <w:spacing w:line="32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160" w:type="dxa"/>
            <w:tcBorders>
              <w:bottom w:val="single" w:color="auto" w:sz="4" w:space="0"/>
            </w:tcBorders>
          </w:tcPr>
          <w:p>
            <w:pPr>
              <w:pStyle w:val="8"/>
              <w:spacing w:line="32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647" w:type="dxa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spacing w:line="32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7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611" w:type="dxa"/>
            <w:vMerge w:val="continue"/>
          </w:tcPr>
          <w:p>
            <w:pPr>
              <w:pStyle w:val="8"/>
              <w:spacing w:line="32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970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8"/>
              <w:spacing w:line="320" w:lineRule="exact"/>
              <w:jc w:val="both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(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)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计算机模块：通过专业技术人员计算机应用能力考试，取得3个及以上模块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(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含免考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)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的计3分；</w:t>
            </w:r>
          </w:p>
        </w:tc>
        <w:tc>
          <w:tcPr>
            <w:tcW w:w="744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8"/>
              <w:spacing w:line="32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160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8"/>
              <w:spacing w:line="32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64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spacing w:line="32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79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1611" w:type="dxa"/>
            <w:vMerge w:val="continue"/>
          </w:tcPr>
          <w:p>
            <w:pPr>
              <w:pStyle w:val="8"/>
              <w:spacing w:line="32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970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8"/>
              <w:spacing w:line="320" w:lineRule="exact"/>
              <w:jc w:val="both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(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)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职称外语：通过专业技术人员外语水平考试，取得职称外语A级证书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(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含免考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)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的计3分；</w:t>
            </w:r>
          </w:p>
        </w:tc>
        <w:tc>
          <w:tcPr>
            <w:tcW w:w="744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8"/>
              <w:spacing w:line="32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160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8"/>
              <w:spacing w:line="32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64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spacing w:line="32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79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611" w:type="dxa"/>
            <w:vMerge w:val="continue"/>
          </w:tcPr>
          <w:p>
            <w:pPr>
              <w:pStyle w:val="8"/>
              <w:spacing w:line="32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970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8"/>
              <w:spacing w:line="320" w:lineRule="exact"/>
              <w:jc w:val="both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(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)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获得硕士学历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(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学位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)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计2分，获得博士学历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(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学位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)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计8分。只取最高级计分。</w:t>
            </w:r>
          </w:p>
        </w:tc>
        <w:tc>
          <w:tcPr>
            <w:tcW w:w="744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8"/>
              <w:spacing w:line="32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160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8"/>
              <w:spacing w:line="32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64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8"/>
              <w:spacing w:line="32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79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</w:trPr>
        <w:tc>
          <w:tcPr>
            <w:tcW w:w="1611" w:type="dxa"/>
            <w:vMerge w:val="continue"/>
          </w:tcPr>
          <w:p>
            <w:pPr>
              <w:pStyle w:val="8"/>
              <w:spacing w:line="32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970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8"/>
              <w:spacing w:line="320" w:lineRule="exact"/>
              <w:jc w:val="both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(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)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面试答辩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  <w:t>评审专家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赋分：优秀5分，良好4分，合格3分，其他不计分。</w:t>
            </w:r>
          </w:p>
        </w:tc>
        <w:tc>
          <w:tcPr>
            <w:tcW w:w="744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8"/>
              <w:spacing w:line="32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160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8"/>
              <w:spacing w:line="32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64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8"/>
              <w:spacing w:line="32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79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2" w:hRule="atLeast"/>
        </w:trPr>
        <w:tc>
          <w:tcPr>
            <w:tcW w:w="1611" w:type="dxa"/>
            <w:vMerge w:val="restart"/>
            <w:vAlign w:val="center"/>
          </w:tcPr>
          <w:p>
            <w:pPr>
              <w:pStyle w:val="8"/>
              <w:spacing w:line="320" w:lineRule="exact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lang w:val="en-US" w:eastAsia="zh-CN"/>
              </w:rPr>
              <w:t>5.负分项</w:t>
            </w:r>
          </w:p>
        </w:tc>
        <w:tc>
          <w:tcPr>
            <w:tcW w:w="970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8"/>
              <w:spacing w:line="320" w:lineRule="exact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个人违反学校工作纪律受到学校通报批评：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-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2 分/次</w:t>
            </w:r>
          </w:p>
        </w:tc>
        <w:tc>
          <w:tcPr>
            <w:tcW w:w="744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8"/>
              <w:spacing w:line="32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160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8"/>
              <w:spacing w:line="32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64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8"/>
              <w:spacing w:line="32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79" w:type="dxa"/>
            <w:vMerge w:val="restart"/>
          </w:tcPr>
          <w:p>
            <w:pPr>
              <w:spacing w:line="32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1611" w:type="dxa"/>
            <w:vMerge w:val="continue"/>
          </w:tcPr>
          <w:p>
            <w:pPr>
              <w:pStyle w:val="8"/>
              <w:spacing w:line="32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970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8"/>
              <w:spacing w:line="320" w:lineRule="exact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二级教学事故：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一5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分/次。</w:t>
            </w:r>
          </w:p>
        </w:tc>
        <w:tc>
          <w:tcPr>
            <w:tcW w:w="744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8"/>
              <w:spacing w:line="32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160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8"/>
              <w:spacing w:line="32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64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8"/>
              <w:spacing w:line="32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79" w:type="dxa"/>
            <w:vMerge w:val="continue"/>
            <w:tcBorders/>
          </w:tcPr>
          <w:p>
            <w:pPr>
              <w:spacing w:line="32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6" w:hRule="atLeast"/>
        </w:trPr>
        <w:tc>
          <w:tcPr>
            <w:tcW w:w="1611" w:type="dxa"/>
            <w:vAlign w:val="center"/>
          </w:tcPr>
          <w:p>
            <w:pPr>
              <w:pStyle w:val="8"/>
              <w:ind w:left="9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合计得分</w:t>
            </w:r>
          </w:p>
        </w:tc>
        <w:tc>
          <w:tcPr>
            <w:tcW w:w="9704" w:type="dxa"/>
            <w:tcBorders>
              <w:top w:val="single" w:color="auto" w:sz="4" w:space="0"/>
            </w:tcBorders>
            <w:vAlign w:val="center"/>
          </w:tcPr>
          <w:p>
            <w:pPr>
              <w:pStyle w:val="8"/>
              <w:spacing w:before="129"/>
              <w:ind w:left="13"/>
              <w:jc w:val="center"/>
              <w:rPr>
                <w:sz w:val="21"/>
              </w:rPr>
            </w:pPr>
          </w:p>
        </w:tc>
        <w:tc>
          <w:tcPr>
            <w:tcW w:w="744" w:type="dxa"/>
            <w:tcBorders>
              <w:top w:val="single" w:color="auto" w:sz="4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160" w:type="dxa"/>
            <w:tcBorders>
              <w:top w:val="single" w:color="auto" w:sz="4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647" w:type="dxa"/>
            <w:tcBorders>
              <w:top w:val="single" w:color="auto" w:sz="4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879" w:type="dxa"/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rPr>
          <w:rFonts w:hint="eastAsia"/>
          <w:b/>
          <w:sz w:val="21"/>
          <w:lang w:val="en-US" w:eastAsia="zh-CN"/>
        </w:rPr>
      </w:pPr>
      <w:r>
        <w:rPr>
          <w:rFonts w:hint="eastAsia"/>
          <w:b/>
          <w:sz w:val="21"/>
          <w:lang w:val="en-US" w:eastAsia="zh-CN"/>
        </w:rPr>
        <w:t xml:space="preserve"> </w:t>
      </w:r>
    </w:p>
    <w:p>
      <w:pPr>
        <w:ind w:firstLine="422" w:firstLineChars="200"/>
      </w:pPr>
      <w:r>
        <w:rPr>
          <w:b/>
          <w:sz w:val="21"/>
        </w:rPr>
        <w:t>专家签名</w:t>
      </w:r>
      <w:r>
        <w:rPr>
          <w:rFonts w:hint="eastAsia"/>
          <w:b/>
          <w:sz w:val="21"/>
        </w:rPr>
        <w:t>：</w:t>
      </w:r>
      <w:r>
        <w:rPr>
          <w:rFonts w:hint="eastAsia"/>
          <w:b/>
          <w:sz w:val="21"/>
          <w:lang w:val="en-US"/>
        </w:rPr>
        <w:t xml:space="preserve">                                                       </w:t>
      </w:r>
      <w:r>
        <w:rPr>
          <w:rFonts w:hint="eastAsia"/>
          <w:b/>
          <w:sz w:val="21"/>
        </w:rPr>
        <w:t xml:space="preserve">                                         </w:t>
      </w:r>
      <w:r>
        <w:rPr>
          <w:b/>
          <w:sz w:val="21"/>
        </w:rPr>
        <w:t>年</w:t>
      </w:r>
      <w:r>
        <w:rPr>
          <w:b/>
          <w:sz w:val="21"/>
        </w:rPr>
        <w:tab/>
      </w:r>
      <w:r>
        <w:rPr>
          <w:b/>
          <w:sz w:val="21"/>
        </w:rPr>
        <w:t>月</w:t>
      </w:r>
      <w:r>
        <w:rPr>
          <w:b/>
          <w:sz w:val="21"/>
        </w:rPr>
        <w:tab/>
      </w:r>
      <w:r>
        <w:rPr>
          <w:b/>
          <w:sz w:val="21"/>
        </w:rPr>
        <w:t>日</w:t>
      </w:r>
      <w:r>
        <w:rPr>
          <w:rFonts w:hint="eastAsia"/>
          <w:b/>
          <w:sz w:val="21"/>
        </w:rPr>
        <w:t xml:space="preserve">            </w:t>
      </w:r>
    </w:p>
    <w:sectPr>
      <w:pgSz w:w="16838" w:h="11906" w:orient="landscape"/>
      <w:pgMar w:top="1800" w:right="1440" w:bottom="1800" w:left="144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  <w:embedRegular r:id="rId1" w:fontKey="{15216AA2-2525-46BE-AFB2-2EE27B4388E2}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2" w:fontKey="{F59334CD-6580-4FBA-B7D2-DD65F043538D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tabs>
        <w:tab w:val="center" w:pos="7490"/>
        <w:tab w:val="clear" w:pos="4153"/>
      </w:tabs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eastAsia="zh-CN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ind w:left="0"/>
      <w:rPr>
        <w:sz w:val="20"/>
      </w:rPr>
    </w:pPr>
    <w:r>
      <w:rPr>
        <w:sz w:val="20"/>
        <w:lang w:val="en-US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5" name="文本框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g6C4liwCAABX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20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VmYjVmNGUwNjBmODNjZTRjMDY2YzBlMTcxNmM4ZGMifQ=="/>
  </w:docVars>
  <w:rsids>
    <w:rsidRoot w:val="11744D7D"/>
    <w:rsid w:val="066B1C96"/>
    <w:rsid w:val="08803813"/>
    <w:rsid w:val="11744D7D"/>
    <w:rsid w:val="1CC91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2"/>
    <w:basedOn w:val="1"/>
    <w:next w:val="1"/>
    <w:qFormat/>
    <w:uiPriority w:val="1"/>
    <w:pPr>
      <w:ind w:left="747"/>
      <w:outlineLvl w:val="1"/>
    </w:pPr>
    <w:rPr>
      <w:rFonts w:ascii="Microsoft JhengHei" w:hAnsi="Microsoft JhengHei" w:eastAsia="Microsoft JhengHei" w:cs="Microsoft JhengHei"/>
      <w:b/>
      <w:bCs/>
      <w:sz w:val="32"/>
      <w:szCs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ind w:left="106"/>
    </w:pPr>
    <w:rPr>
      <w:sz w:val="32"/>
      <w:szCs w:val="3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8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2023-10-11T01:02:00Z</dcterms:created>
  <dc:creator>15121020145</dc:creator>
  <cp:lastModifiedBy>黄婧</cp:lastModifiedBy>
  <cp:lastPrinted>2023-10-11T01:46:00Z</cp:lastPrinted>
  <dcterms:modified xsi:type="dcterms:W3CDTF">2023-10-13T03:31:32Z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F760AD5721B54B8585252497267F563F_11</vt:lpwstr>
  </property>
</Properties>
</file>